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61123">
      <w:pPr>
        <w:ind w:firstLine="640"/>
        <w:rPr>
          <w:rFonts w:ascii="仿宋_GB2312" w:hAnsi="仿宋_GB2312" w:cs="仿宋_GB2312"/>
          <w:bCs/>
          <w:szCs w:val="32"/>
        </w:rPr>
      </w:pPr>
    </w:p>
    <w:p w14:paraId="1863AF9A">
      <w:pPr>
        <w:jc w:val="center"/>
        <w:rPr>
          <w:rFonts w:hint="eastAsia" w:ascii="宋体" w:hAnsi="宋体" w:cs="Times New Roman"/>
          <w:b/>
          <w:sz w:val="36"/>
          <w:szCs w:val="36"/>
        </w:rPr>
      </w:pPr>
      <w:bookmarkStart w:id="0" w:name="_GoBack"/>
      <w:r>
        <w:rPr>
          <w:rFonts w:hint="eastAsia" w:ascii="宋体" w:hAnsi="宋体" w:cs="Times New Roman"/>
          <w:b/>
          <w:sz w:val="36"/>
          <w:szCs w:val="36"/>
        </w:rPr>
        <w:t>淮北市财政局（国资委）2022</w:t>
      </w:r>
      <w:r>
        <w:rPr>
          <w:rFonts w:ascii="宋体" w:hAnsi="宋体" w:cs="Times New Roman"/>
          <w:b/>
          <w:sz w:val="36"/>
          <w:szCs w:val="36"/>
        </w:rPr>
        <w:t>年</w:t>
      </w:r>
      <w:r>
        <w:rPr>
          <w:rFonts w:hint="eastAsia" w:ascii="宋体" w:hAnsi="宋体" w:cs="Times New Roman"/>
          <w:b/>
          <w:sz w:val="36"/>
          <w:szCs w:val="36"/>
        </w:rPr>
        <w:t>度一般公共预算财政拨款</w:t>
      </w:r>
      <w:r>
        <w:rPr>
          <w:rFonts w:ascii="宋体" w:hAnsi="宋体" w:cs="Times New Roman"/>
          <w:b/>
          <w:sz w:val="36"/>
          <w:szCs w:val="36"/>
        </w:rPr>
        <w:t>“三公</w:t>
      </w:r>
      <w:r>
        <w:rPr>
          <w:rFonts w:hint="eastAsia" w:ascii="宋体" w:hAnsi="宋体" w:cs="Times New Roman"/>
          <w:b/>
          <w:sz w:val="36"/>
          <w:szCs w:val="36"/>
        </w:rPr>
        <w:t>”</w:t>
      </w:r>
      <w:r>
        <w:rPr>
          <w:rFonts w:ascii="宋体" w:hAnsi="宋体" w:cs="Times New Roman"/>
          <w:b/>
          <w:sz w:val="36"/>
          <w:szCs w:val="36"/>
        </w:rPr>
        <w:t>经费</w:t>
      </w:r>
      <w:r>
        <w:rPr>
          <w:rFonts w:hint="eastAsia" w:ascii="宋体" w:hAnsi="宋体" w:cs="Times New Roman"/>
          <w:b/>
          <w:sz w:val="36"/>
          <w:szCs w:val="36"/>
        </w:rPr>
        <w:t>支出决算</w:t>
      </w:r>
      <w:bookmarkEnd w:id="0"/>
    </w:p>
    <w:p w14:paraId="2957D336">
      <w:pPr>
        <w:ind w:firstLine="640"/>
        <w:rPr>
          <w:rFonts w:hint="eastAsia" w:ascii="仿宋_GB2312" w:hAnsi="仿宋_GB2312" w:cs="仿宋_GB2312"/>
          <w:bCs/>
          <w:szCs w:val="32"/>
        </w:rPr>
      </w:pPr>
      <w:r>
        <w:rPr>
          <w:rFonts w:hint="eastAsia" w:ascii="仿宋_GB2312" w:hAnsi="仿宋_GB2312" w:cs="仿宋_GB2312"/>
          <w:bCs/>
          <w:szCs w:val="32"/>
        </w:rPr>
        <w:t xml:space="preserve"> </w:t>
      </w:r>
    </w:p>
    <w:p w14:paraId="0DB6D963">
      <w:pPr>
        <w:rPr>
          <w:rFonts w:hint="eastAsia" w:ascii="黑体" w:hAnsi="黑体" w:eastAsia="黑体" w:cs="Times New Roman"/>
          <w:szCs w:val="32"/>
        </w:rPr>
      </w:pPr>
      <w:r>
        <w:rPr>
          <w:rFonts w:hint="eastAsia" w:ascii="黑体" w:hAnsi="黑体" w:eastAsia="黑体" w:cs="Times New Roman"/>
          <w:szCs w:val="32"/>
        </w:rPr>
        <w:t>一、2022年度一般公共预算财政拨款“三公”经费支出决算表</w:t>
      </w:r>
    </w:p>
    <w:p w14:paraId="3B1C5357">
      <w:pPr>
        <w:ind w:firstLine="7216" w:firstLineChars="2298"/>
        <w:rPr>
          <w:rFonts w:hint="eastAsia" w:ascii="黑体" w:hAnsi="黑体" w:eastAsia="黑体" w:cs="Times New Roman"/>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7FDBB1C7">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6B7A5CAD">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6BE99072">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28AAAA53">
            <w:pPr>
              <w:widowControl/>
              <w:jc w:val="center"/>
              <w:rPr>
                <w:rFonts w:ascii="宋体" w:hAnsi="宋体" w:cs="宋体"/>
                <w:b/>
                <w:bCs/>
                <w:kern w:val="0"/>
                <w:szCs w:val="21"/>
              </w:rPr>
            </w:pPr>
            <w:r>
              <w:rPr>
                <w:rFonts w:hint="eastAsia" w:ascii="宋体" w:hAnsi="宋体" w:cs="宋体"/>
                <w:b/>
                <w:bCs/>
                <w:kern w:val="0"/>
                <w:szCs w:val="21"/>
              </w:rPr>
              <w:t>决 算 数</w:t>
            </w:r>
          </w:p>
        </w:tc>
      </w:tr>
      <w:tr w14:paraId="51549C93">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A814E9B">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7E32B052">
            <w:pPr>
              <w:widowControl/>
              <w:jc w:val="center"/>
              <w:rPr>
                <w:rFonts w:ascii="宋体" w:hAnsi="宋体" w:cs="宋体"/>
                <w:b/>
                <w:bCs/>
                <w:kern w:val="0"/>
                <w:szCs w:val="21"/>
              </w:rPr>
            </w:pPr>
            <w:r>
              <w:rPr>
                <w:rFonts w:hint="eastAsia" w:ascii="宋体" w:hAnsi="宋体" w:cs="宋体"/>
                <w:b/>
                <w:bCs/>
                <w:kern w:val="0"/>
                <w:szCs w:val="21"/>
              </w:rPr>
              <w:t>5.3</w:t>
            </w:r>
          </w:p>
        </w:tc>
        <w:tc>
          <w:tcPr>
            <w:tcW w:w="2220" w:type="dxa"/>
            <w:tcBorders>
              <w:top w:val="nil"/>
              <w:left w:val="nil"/>
              <w:bottom w:val="single" w:color="auto" w:sz="4" w:space="0"/>
              <w:right w:val="single" w:color="auto" w:sz="4" w:space="0"/>
            </w:tcBorders>
            <w:noWrap w:val="0"/>
            <w:vAlign w:val="center"/>
          </w:tcPr>
          <w:p w14:paraId="4415E249">
            <w:pPr>
              <w:widowControl/>
              <w:jc w:val="center"/>
              <w:rPr>
                <w:rFonts w:ascii="宋体" w:hAnsi="宋体" w:cs="宋体"/>
                <w:b/>
                <w:bCs/>
                <w:kern w:val="0"/>
                <w:szCs w:val="21"/>
              </w:rPr>
            </w:pPr>
            <w:r>
              <w:rPr>
                <w:rFonts w:hint="eastAsia" w:ascii="宋体" w:hAnsi="宋体" w:cs="宋体"/>
                <w:b/>
                <w:bCs/>
                <w:kern w:val="0"/>
                <w:szCs w:val="21"/>
              </w:rPr>
              <w:t>3.12</w:t>
            </w:r>
          </w:p>
        </w:tc>
      </w:tr>
      <w:tr w14:paraId="32B4EF1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66506D1">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0721068B">
            <w:pPr>
              <w:widowControl/>
              <w:jc w:val="center"/>
              <w:rPr>
                <w:rFonts w:ascii="宋体" w:hAnsi="宋体" w:cs="宋体"/>
                <w:kern w:val="0"/>
                <w:szCs w:val="21"/>
              </w:rPr>
            </w:pPr>
          </w:p>
        </w:tc>
        <w:tc>
          <w:tcPr>
            <w:tcW w:w="2220" w:type="dxa"/>
            <w:tcBorders>
              <w:top w:val="nil"/>
              <w:left w:val="nil"/>
              <w:bottom w:val="single" w:color="auto" w:sz="4" w:space="0"/>
              <w:right w:val="single" w:color="auto" w:sz="4" w:space="0"/>
            </w:tcBorders>
            <w:noWrap w:val="0"/>
            <w:vAlign w:val="bottom"/>
          </w:tcPr>
          <w:p w14:paraId="61121F2C">
            <w:pPr>
              <w:widowControl/>
              <w:jc w:val="center"/>
              <w:rPr>
                <w:rFonts w:ascii="宋体" w:hAnsi="宋体" w:cs="宋体"/>
                <w:kern w:val="0"/>
                <w:szCs w:val="21"/>
              </w:rPr>
            </w:pPr>
          </w:p>
        </w:tc>
      </w:tr>
      <w:tr w14:paraId="58C26FB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636922C">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074B9FC2">
            <w:pPr>
              <w:widowControl/>
              <w:jc w:val="center"/>
              <w:rPr>
                <w:rFonts w:ascii="宋体" w:hAnsi="宋体" w:cs="宋体"/>
                <w:kern w:val="0"/>
                <w:szCs w:val="21"/>
              </w:rPr>
            </w:pPr>
            <w:r>
              <w:rPr>
                <w:rFonts w:hint="eastAsia" w:ascii="宋体" w:hAnsi="宋体" w:cs="宋体"/>
                <w:kern w:val="0"/>
                <w:szCs w:val="21"/>
              </w:rPr>
              <w:t>5.3</w:t>
            </w:r>
          </w:p>
        </w:tc>
        <w:tc>
          <w:tcPr>
            <w:tcW w:w="2220" w:type="dxa"/>
            <w:tcBorders>
              <w:top w:val="nil"/>
              <w:left w:val="nil"/>
              <w:bottom w:val="single" w:color="auto" w:sz="4" w:space="0"/>
              <w:right w:val="single" w:color="auto" w:sz="4" w:space="0"/>
            </w:tcBorders>
            <w:noWrap w:val="0"/>
            <w:vAlign w:val="bottom"/>
          </w:tcPr>
          <w:p w14:paraId="51729A8A">
            <w:pPr>
              <w:widowControl/>
              <w:jc w:val="center"/>
              <w:rPr>
                <w:rFonts w:ascii="宋体" w:hAnsi="宋体" w:cs="宋体"/>
                <w:kern w:val="0"/>
                <w:szCs w:val="21"/>
              </w:rPr>
            </w:pPr>
            <w:r>
              <w:rPr>
                <w:rFonts w:hint="eastAsia" w:ascii="宋体" w:hAnsi="宋体" w:cs="宋体"/>
                <w:kern w:val="0"/>
                <w:szCs w:val="21"/>
              </w:rPr>
              <w:t>3.12</w:t>
            </w:r>
          </w:p>
        </w:tc>
      </w:tr>
      <w:tr w14:paraId="7BB8E34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2F01A01">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73C06056">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14:paraId="533FBBD9">
            <w:pPr>
              <w:widowControl/>
              <w:jc w:val="left"/>
              <w:rPr>
                <w:rFonts w:ascii="宋体" w:hAnsi="宋体" w:cs="宋体"/>
                <w:kern w:val="0"/>
                <w:szCs w:val="21"/>
              </w:rPr>
            </w:pPr>
            <w:r>
              <w:rPr>
                <w:rFonts w:hint="eastAsia" w:ascii="宋体" w:hAnsi="宋体" w:cs="宋体"/>
                <w:kern w:val="0"/>
                <w:szCs w:val="21"/>
              </w:rPr>
              <w:t>　</w:t>
            </w:r>
          </w:p>
        </w:tc>
      </w:tr>
      <w:tr w14:paraId="68565E6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88E4661">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662421B6">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14:paraId="71CFD62E">
            <w:pPr>
              <w:widowControl/>
              <w:jc w:val="left"/>
              <w:rPr>
                <w:rFonts w:ascii="宋体" w:hAnsi="宋体" w:cs="宋体"/>
                <w:kern w:val="0"/>
                <w:szCs w:val="21"/>
              </w:rPr>
            </w:pPr>
            <w:r>
              <w:rPr>
                <w:rFonts w:hint="eastAsia" w:ascii="宋体" w:hAnsi="宋体" w:cs="宋体"/>
                <w:kern w:val="0"/>
                <w:szCs w:val="21"/>
              </w:rPr>
              <w:t>　</w:t>
            </w:r>
          </w:p>
        </w:tc>
      </w:tr>
      <w:tr w14:paraId="589BC496">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6EECA9A">
            <w:pPr>
              <w:widowControl/>
              <w:jc w:val="left"/>
              <w:rPr>
                <w:rFonts w:ascii="宋体" w:hAnsi="宋体" w:cs="宋体"/>
                <w:kern w:val="0"/>
                <w:szCs w:val="21"/>
              </w:rPr>
            </w:pPr>
            <w:r>
              <w:rPr>
                <w:rFonts w:hint="eastAsia" w:ascii="宋体" w:hAnsi="宋体" w:cs="宋体"/>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14:paraId="127BBD09">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14:paraId="196F3133">
            <w:pPr>
              <w:widowControl/>
              <w:jc w:val="left"/>
              <w:rPr>
                <w:rFonts w:ascii="宋体" w:hAnsi="宋体" w:cs="宋体"/>
                <w:kern w:val="0"/>
                <w:szCs w:val="21"/>
              </w:rPr>
            </w:pPr>
            <w:r>
              <w:rPr>
                <w:rFonts w:hint="eastAsia" w:ascii="宋体" w:hAnsi="宋体" w:cs="宋体"/>
                <w:kern w:val="0"/>
                <w:szCs w:val="21"/>
              </w:rPr>
              <w:t>　</w:t>
            </w:r>
          </w:p>
        </w:tc>
      </w:tr>
    </w:tbl>
    <w:p w14:paraId="592F4DB6">
      <w:pPr>
        <w:spacing w:line="300" w:lineRule="exact"/>
        <w:rPr>
          <w:rFonts w:hint="eastAsia" w:ascii="仿宋_GB2312" w:hAnsi="仿宋" w:cs="Times New Roman"/>
          <w:sz w:val="21"/>
          <w:szCs w:val="21"/>
        </w:rPr>
      </w:pPr>
    </w:p>
    <w:p w14:paraId="3D4ED2B2">
      <w:pPr>
        <w:spacing w:line="300" w:lineRule="exact"/>
        <w:rPr>
          <w:rFonts w:hint="eastAsia" w:ascii="黑体" w:hAnsi="黑体" w:eastAsia="黑体" w:cs="Times New Roman"/>
          <w:szCs w:val="32"/>
        </w:rPr>
      </w:pPr>
      <w:r>
        <w:rPr>
          <w:rFonts w:hint="eastAsia" w:ascii="仿宋_GB2312" w:hAnsi="仿宋" w:cs="Times New Roman"/>
          <w:sz w:val="21"/>
          <w:szCs w:val="21"/>
        </w:rPr>
        <w:t xml:space="preserve">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hint="eastAsia" w:ascii="仿宋_GB2312" w:hAnsi="仿宋" w:cs="Times New Roman"/>
          <w:szCs w:val="32"/>
        </w:rPr>
        <w:t xml:space="preserve"> </w:t>
      </w:r>
      <w:r>
        <w:rPr>
          <w:rFonts w:hint="eastAsia" w:ascii="黑体" w:hAnsi="黑体" w:eastAsia="黑体" w:cs="Times New Roman"/>
          <w:szCs w:val="32"/>
        </w:rPr>
        <w:t xml:space="preserve">                                      </w:t>
      </w:r>
    </w:p>
    <w:p w14:paraId="21DF28DA">
      <w:pPr>
        <w:rPr>
          <w:rFonts w:hint="eastAsia" w:ascii="黑体" w:hAnsi="黑体" w:eastAsia="黑体" w:cs="Times New Roman"/>
          <w:szCs w:val="32"/>
        </w:rPr>
      </w:pPr>
      <w:r>
        <w:rPr>
          <w:rFonts w:ascii="黑体" w:hAnsi="黑体" w:eastAsia="黑体" w:cs="Times New Roman"/>
          <w:szCs w:val="32"/>
        </w:rPr>
        <w:t xml:space="preserve">    </w:t>
      </w:r>
      <w:r>
        <w:rPr>
          <w:rFonts w:hint="eastAsia" w:ascii="黑体" w:hAnsi="黑体" w:eastAsia="黑体" w:cs="Times New Roman"/>
          <w:szCs w:val="32"/>
        </w:rPr>
        <w:t>二</w:t>
      </w:r>
      <w:r>
        <w:rPr>
          <w:rFonts w:ascii="黑体" w:hAnsi="黑体" w:eastAsia="黑体" w:cs="Times New Roman"/>
          <w:szCs w:val="32"/>
        </w:rPr>
        <w:t>、</w:t>
      </w:r>
      <w:r>
        <w:rPr>
          <w:rFonts w:hint="eastAsia" w:ascii="黑体" w:hAnsi="黑体" w:eastAsia="黑体" w:cs="Times New Roman"/>
          <w:szCs w:val="32"/>
        </w:rPr>
        <w:t>2022</w:t>
      </w:r>
      <w:r>
        <w:rPr>
          <w:rFonts w:ascii="黑体" w:hAnsi="黑体" w:eastAsia="黑体" w:cs="Times New Roman"/>
          <w:szCs w:val="32"/>
        </w:rPr>
        <w:t>年</w:t>
      </w:r>
      <w:r>
        <w:rPr>
          <w:rFonts w:hint="eastAsia" w:ascii="黑体" w:hAnsi="黑体" w:eastAsia="黑体" w:cs="Times New Roman"/>
          <w:szCs w:val="32"/>
        </w:rPr>
        <w:t>度一般公共预算财政拨款“三公”经费支出</w:t>
      </w:r>
      <w:r>
        <w:rPr>
          <w:rFonts w:ascii="黑体" w:hAnsi="黑体" w:eastAsia="黑体" w:cs="Times New Roman"/>
          <w:szCs w:val="32"/>
        </w:rPr>
        <w:t>情况说明</w:t>
      </w:r>
    </w:p>
    <w:p w14:paraId="6A456198">
      <w:pPr>
        <w:ind w:firstLine="628" w:firstLineChars="200"/>
        <w:rPr>
          <w:rFonts w:hint="eastAsia" w:ascii="仿宋_GB2312" w:hAnsi="仿宋" w:cs="Times New Roman"/>
          <w:b/>
          <w:szCs w:val="32"/>
        </w:rPr>
      </w:pPr>
      <w:r>
        <w:rPr>
          <w:rFonts w:hint="eastAsia" w:ascii="仿宋_GB2312" w:hAnsi="仿宋" w:cs="Times New Roman"/>
          <w:b/>
          <w:szCs w:val="32"/>
        </w:rPr>
        <w:t>（一）一般公共预算财政拨款“三公”经费支出决算总体情况说明。</w:t>
      </w:r>
    </w:p>
    <w:p w14:paraId="2B967D9F">
      <w:pPr>
        <w:ind w:firstLine="640"/>
        <w:rPr>
          <w:rFonts w:ascii="仿宋_GB2312" w:hAnsi="仿宋_GB2312" w:cs="仿宋_GB2312"/>
          <w:bCs/>
          <w:szCs w:val="32"/>
        </w:rPr>
      </w:pPr>
    </w:p>
    <w:p w14:paraId="71A5B28A">
      <w:pPr>
        <w:ind w:firstLine="628" w:firstLineChars="200"/>
        <w:rPr>
          <w:rFonts w:hint="eastAsia" w:ascii="仿宋_GB2312" w:hAnsi="仿宋" w:cs="Times New Roman"/>
          <w:szCs w:val="32"/>
        </w:rPr>
      </w:pPr>
      <w:r>
        <w:rPr>
          <w:rFonts w:hint="eastAsia" w:ascii="仿宋_GB2312" w:hAnsi="仿宋" w:cs="Times New Roman"/>
          <w:szCs w:val="32"/>
        </w:rPr>
        <w:t>淮北市财政局（国资委）2022年度一般公共预算财政拨款“三公”经费支出预算为5.3万元，支出决算为3.12万元，完成预算的58.87%；较上年减少1.14万元，下降26.76%。决算数小于预算数的主要原因是严格</w:t>
      </w:r>
      <w:r>
        <w:rPr>
          <w:rFonts w:hint="eastAsia" w:ascii="仿宋" w:hAnsi="仿宋" w:eastAsia="仿宋" w:cs="Times New Roman"/>
          <w:szCs w:val="32"/>
        </w:rPr>
        <w:t>贯彻落实中央八项规定精神</w:t>
      </w:r>
      <w:r>
        <w:rPr>
          <w:rFonts w:hint="eastAsia" w:ascii="仿宋_GB2312" w:hAnsi="仿宋" w:cs="Times New Roman"/>
          <w:szCs w:val="32"/>
        </w:rPr>
        <w:t>和省委省政府30条有关要求，压减公务接待支出。</w:t>
      </w:r>
    </w:p>
    <w:p w14:paraId="1AAA9808">
      <w:pPr>
        <w:ind w:firstLine="628" w:firstLineChars="200"/>
        <w:rPr>
          <w:rFonts w:hint="eastAsia" w:ascii="仿宋_GB2312" w:hAnsi="仿宋" w:cs="Times New Roman"/>
          <w:b/>
          <w:szCs w:val="32"/>
        </w:rPr>
      </w:pPr>
      <w:r>
        <w:rPr>
          <w:rFonts w:hint="eastAsia" w:ascii="仿宋_GB2312" w:hAnsi="仿宋" w:cs="Times New Roman"/>
          <w:b/>
          <w:bCs/>
          <w:szCs w:val="32"/>
        </w:rPr>
        <w:t>（二）</w:t>
      </w:r>
      <w:r>
        <w:rPr>
          <w:rFonts w:hint="eastAsia" w:ascii="仿宋_GB2312" w:hAnsi="仿宋" w:cs="Times New Roman"/>
          <w:b/>
          <w:szCs w:val="32"/>
        </w:rPr>
        <w:t>一般公共预算财政拨款“三公”经费支出决算具体情况说明。</w:t>
      </w:r>
    </w:p>
    <w:p w14:paraId="18EFFF53">
      <w:pPr>
        <w:ind w:firstLine="628" w:firstLineChars="200"/>
        <w:rPr>
          <w:rFonts w:hint="eastAsia" w:ascii="仿宋_GB2312" w:hAnsi="仿宋" w:cs="Times New Roman"/>
          <w:szCs w:val="32"/>
        </w:rPr>
      </w:pPr>
      <w:r>
        <w:rPr>
          <w:rFonts w:hint="eastAsia" w:ascii="仿宋_GB2312" w:hAnsi="仿宋" w:cs="Times New Roman"/>
          <w:szCs w:val="32"/>
        </w:rPr>
        <w:t>淮北市财政局（国资委）2022年度一般公共预算财政拨款“三公”经费支出决算中，因公出国（境）费支出决算0万元;公务接待费支出决算3.12万元，占100%；公务用车购置及运行维护费支出决算0万元。具体情况如下：</w:t>
      </w:r>
    </w:p>
    <w:p w14:paraId="01439D0C">
      <w:pPr>
        <w:ind w:firstLine="628" w:firstLineChars="200"/>
        <w:rPr>
          <w:rFonts w:hint="eastAsia" w:ascii="仿宋_GB2312" w:hAnsi="仿宋" w:cs="Times New Roman"/>
          <w:szCs w:val="32"/>
        </w:rPr>
      </w:pPr>
      <w:r>
        <w:rPr>
          <w:rFonts w:hint="eastAsia" w:ascii="仿宋_GB2312" w:hAnsi="仿宋" w:cs="Times New Roman"/>
          <w:szCs w:val="32"/>
        </w:rPr>
        <w:t>1.因公出国（境）费支出0万元，与2021年度预算相比，无变化。2022年淮北市财政局（国资委）因公出国（境）团组0次，累计出国（境）0人次。</w:t>
      </w:r>
    </w:p>
    <w:p w14:paraId="5EF0949D">
      <w:pPr>
        <w:ind w:firstLine="628" w:firstLineChars="200"/>
        <w:rPr>
          <w:rFonts w:hint="eastAsia" w:ascii="仿宋_GB2312" w:hAnsi="仿宋" w:cs="Times New Roman"/>
          <w:szCs w:val="32"/>
        </w:rPr>
      </w:pPr>
      <w:r>
        <w:rPr>
          <w:rFonts w:hint="eastAsia" w:ascii="仿宋_GB2312" w:hAnsi="仿宋" w:cs="Times New Roman"/>
          <w:szCs w:val="32"/>
        </w:rPr>
        <w:t>2.公务接待费预算为5.3万元，支出决算为3.12万元，完成预算的58.87%；较上年减少1.14万元，下降26.76%。决算数小于预算数的主要原因是从严控制行政性公共消费，压减一般性支出特别是公务接待等支出的要求，减少公务接待支出。决算数较上年减少的主要原因是严格</w:t>
      </w:r>
      <w:r>
        <w:rPr>
          <w:rFonts w:hint="eastAsia" w:ascii="仿宋" w:hAnsi="仿宋" w:eastAsia="仿宋" w:cs="Times New Roman"/>
          <w:szCs w:val="32"/>
        </w:rPr>
        <w:t>贯彻落实中央八项规定精神</w:t>
      </w:r>
      <w:r>
        <w:rPr>
          <w:rFonts w:hint="eastAsia" w:ascii="仿宋_GB2312" w:hAnsi="仿宋" w:cs="Times New Roman"/>
          <w:szCs w:val="32"/>
        </w:rPr>
        <w:t>和省委省政府30条有关要求，压减公务接待支出。2022年淮北市财政局（国资委）国内公务接待共20批次，144人次，无外事接待。主要是用于招商引资等公务接待。经费使用严格执行《淮北市市直单位接待经费管理暂行办法》（财行〔2013〕133号）、《淮北市财政局淮北市机关事务管理中心关于调整市直机关公务接待费用餐标准的通知》（财行〔2021〕85号）等相关规定。经费使用严格</w:t>
      </w:r>
      <w:r>
        <w:rPr>
          <w:rFonts w:hint="eastAsia" w:ascii="仿宋" w:hAnsi="仿宋" w:eastAsia="仿宋" w:cs="Times New Roman"/>
          <w:szCs w:val="32"/>
        </w:rPr>
        <w:t>贯彻落实中央八项规定精神</w:t>
      </w:r>
      <w:r>
        <w:rPr>
          <w:rFonts w:hint="eastAsia" w:ascii="仿宋_GB2312" w:hAnsi="仿宋" w:cs="Times New Roman"/>
          <w:szCs w:val="32"/>
        </w:rPr>
        <w:t>，严格执行《党政机关厉行节约反对浪费条例》、淮北市公务接待等相关规定。</w:t>
      </w:r>
    </w:p>
    <w:p w14:paraId="0E7EF76A">
      <w:pPr>
        <w:ind w:firstLine="628" w:firstLineChars="200"/>
      </w:pPr>
      <w:r>
        <w:rPr>
          <w:rFonts w:hint="eastAsia" w:ascii="仿宋_GB2312" w:hAnsi="仿宋" w:cs="Times New Roman"/>
          <w:szCs w:val="32"/>
        </w:rPr>
        <w:t>3.公务用车购置及运行维护费支出0万元，与2022年度预算相比，无变化。2022年没有安排公务用车购置费和公务用车运行维护费，与2022年度预算相比，无变化。截至2022年12月31日，淮北市财政局（国资委）开支财政拨款的公务用车保有量为0辆。</w:t>
      </w:r>
    </w:p>
    <w:sectPr>
      <w:footerReference r:id="rId3" w:type="default"/>
      <w:footerReference r:id="rId4" w:type="even"/>
      <w:pgSz w:w="11906" w:h="16838"/>
      <w:pgMar w:top="2155" w:right="1531" w:bottom="1588"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2787F">
    <w:pPr>
      <w:pStyle w:val="2"/>
      <w:framePr w:wrap="around" w:vAnchor="text" w:hAnchor="margin" w:xAlign="right" w:y="1"/>
      <w:rPr>
        <w:rStyle w:val="6"/>
        <w:rFonts w:ascii="仿宋_GB2312" w:hAnsi="Times New Roman" w:cs="Times New Roman"/>
        <w:sz w:val="28"/>
      </w:rPr>
    </w:pPr>
    <w:r>
      <w:rPr>
        <w:rStyle w:val="6"/>
        <w:rFonts w:hint="eastAsia" w:ascii="仿宋_GB2312" w:hAnsi="Times New Roman" w:cs="Times New Roman"/>
        <w:sz w:val="28"/>
      </w:rPr>
      <w:t>-</w:t>
    </w:r>
    <w:r>
      <w:rPr>
        <w:rFonts w:hint="eastAsia" w:ascii="仿宋_GB2312" w:hAnsi="Times New Roman" w:cs="Times New Roman"/>
        <w:sz w:val="28"/>
        <w:szCs w:val="28"/>
      </w:rPr>
      <w:fldChar w:fldCharType="begin"/>
    </w:r>
    <w:r>
      <w:rPr>
        <w:rStyle w:val="6"/>
        <w:rFonts w:hint="eastAsia" w:ascii="仿宋_GB2312" w:hAnsi="Times New Roman" w:cs="Times New Roman"/>
        <w:sz w:val="28"/>
        <w:szCs w:val="28"/>
      </w:rPr>
      <w:instrText xml:space="preserve"> PAGE </w:instrText>
    </w:r>
    <w:r>
      <w:rPr>
        <w:rFonts w:hint="eastAsia" w:ascii="仿宋_GB2312" w:hAnsi="Times New Roman" w:cs="Times New Roman"/>
        <w:sz w:val="28"/>
        <w:szCs w:val="28"/>
      </w:rPr>
      <w:fldChar w:fldCharType="separate"/>
    </w:r>
    <w:r>
      <w:rPr>
        <w:rStyle w:val="6"/>
        <w:rFonts w:ascii="仿宋_GB2312" w:hAnsi="Times New Roman" w:cs="Times New Roman"/>
        <w:sz w:val="28"/>
        <w:szCs w:val="28"/>
      </w:rPr>
      <w:t>21</w:t>
    </w:r>
    <w:r>
      <w:rPr>
        <w:rFonts w:hint="eastAsia" w:ascii="仿宋_GB2312" w:hAnsi="Times New Roman" w:cs="Times New Roman"/>
        <w:sz w:val="28"/>
        <w:szCs w:val="28"/>
      </w:rPr>
      <w:fldChar w:fldCharType="end"/>
    </w:r>
    <w:r>
      <w:rPr>
        <w:rStyle w:val="6"/>
        <w:rFonts w:hint="eastAsia" w:ascii="仿宋_GB2312" w:hAnsi="Times New Roman" w:cs="Times New Roman"/>
        <w:sz w:val="28"/>
        <w:szCs w:val="28"/>
      </w:rPr>
      <w:t>-</w:t>
    </w:r>
  </w:p>
  <w:p w14:paraId="13E14AB1">
    <w:pPr>
      <w:pStyle w:val="2"/>
      <w:ind w:right="360"/>
      <w:jc w:val="right"/>
      <w:rPr>
        <w:rFonts w:hint="eastAsia" w:ascii="仿宋_GB2312" w:hAnsi="Times New Roman" w:cs="Times New Roman"/>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C8544">
    <w:pPr>
      <w:pStyle w:val="2"/>
      <w:framePr w:wrap="around" w:vAnchor="text" w:hAnchor="margin" w:xAlign="right" w:y="1"/>
      <w:rPr>
        <w:rStyle w:val="6"/>
        <w:rFonts w:ascii="Times New Roman" w:hAnsi="Times New Roman" w:cs="Times New Roman"/>
      </w:rPr>
    </w:pPr>
    <w:r>
      <w:rPr>
        <w:rFonts w:ascii="Times New Roman" w:hAnsi="Times New Roman" w:cs="Times New Roman"/>
      </w:rPr>
      <w:fldChar w:fldCharType="begin"/>
    </w:r>
    <w:r>
      <w:rPr>
        <w:rStyle w:val="6"/>
        <w:rFonts w:ascii="Times New Roman" w:hAnsi="Times New Roman" w:cs="Times New Roman"/>
        <w:sz w:val="32"/>
      </w:rPr>
      <w:instrText xml:space="preserve">PAGE  </w:instrText>
    </w:r>
    <w:r>
      <w:rPr>
        <w:rFonts w:ascii="Times New Roman" w:hAnsi="Times New Roman" w:cs="Times New Roman"/>
      </w:rPr>
      <w:fldChar w:fldCharType="separate"/>
    </w:r>
    <w:r>
      <w:rPr>
        <w:rStyle w:val="6"/>
        <w:rFonts w:ascii="Times New Roman" w:hAnsi="Times New Roman" w:cs="Times New Roman"/>
        <w:sz w:val="32"/>
      </w:rPr>
      <w:t>1</w:t>
    </w:r>
    <w:r>
      <w:rPr>
        <w:rFonts w:ascii="Times New Roman" w:hAnsi="Times New Roman" w:cs="Times New Roman"/>
      </w:rPr>
      <w:fldChar w:fldCharType="end"/>
    </w:r>
  </w:p>
  <w:p w14:paraId="1F5B9352">
    <w:pPr>
      <w:pStyle w:val="2"/>
      <w:ind w:right="360"/>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126B4"/>
    <w:rsid w:val="61912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2025-08-15T11:24:00Z</dcterms:created>
  <dc:creator>遇健不散</dc:creator>
  <cp:lastModifiedBy>遇健不散</cp:lastModifiedBy>
  <dcterms:modified xsi:type="dcterms:W3CDTF">2025-08-15T11:35:01Z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446F7F42F54D455BA2180CED5DD45900_11</vt:lpwstr>
  </property>
  <property fmtid="{D5CDD505-2E9C-101B-9397-08002B2CF9AE}" pid="4" name="KSOTemplateDocerSaveRecord">
    <vt:lpwstr>eyJoZGlkIjoiNjUyMmUzNGJlZjMzNGYzZGVjNDM5MTRlZDAyZWJjOTMiLCJ1c2VySWQiOiIxMjExNjY3MTg0In0=</vt:lpwstr>
  </property>
</Properties>
</file>